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8F45" w14:textId="036A605D" w:rsidR="00217230" w:rsidRPr="00217230" w:rsidRDefault="00217230" w:rsidP="00217230">
      <w:pPr>
        <w:spacing w:line="360" w:lineRule="auto"/>
        <w:jc w:val="center"/>
        <w:rPr>
          <w:rFonts w:cstheme="minorHAnsi"/>
          <w:b/>
          <w:bCs/>
          <w:u w:val="single"/>
          <w:lang w:val="es-ES"/>
        </w:rPr>
      </w:pPr>
      <w:r w:rsidRPr="00217230">
        <w:rPr>
          <w:rFonts w:cstheme="minorHAnsi"/>
          <w:b/>
          <w:bCs/>
          <w:u w:val="single"/>
          <w:lang w:val="es-ES"/>
        </w:rPr>
        <w:t xml:space="preserve">SUNAFIL DEBE ABSTENERCE AL TOMAR CONOCIMIENTO DE LA EXISTENCIA DE UN PROCESO JUDICIAL  </w:t>
      </w:r>
    </w:p>
    <w:p w14:paraId="4BB9FAF0" w14:textId="77777777" w:rsidR="00217230" w:rsidRDefault="00217230" w:rsidP="00AC15AC">
      <w:pPr>
        <w:spacing w:line="360" w:lineRule="auto"/>
        <w:jc w:val="both"/>
        <w:rPr>
          <w:rFonts w:cstheme="minorHAnsi"/>
          <w:lang w:val="es-ES"/>
        </w:rPr>
      </w:pPr>
    </w:p>
    <w:p w14:paraId="6B33DE5C" w14:textId="565BAB1E" w:rsidR="00860867" w:rsidRPr="00217230" w:rsidRDefault="000D724B" w:rsidP="00AC15AC">
      <w:pPr>
        <w:spacing w:line="360" w:lineRule="auto"/>
        <w:jc w:val="both"/>
        <w:rPr>
          <w:rFonts w:cstheme="minorHAnsi"/>
          <w:lang w:val="es-ES"/>
        </w:rPr>
      </w:pPr>
      <w:r w:rsidRPr="00217230">
        <w:rPr>
          <w:rFonts w:cstheme="minorHAnsi"/>
          <w:lang w:val="es-ES"/>
        </w:rPr>
        <w:t xml:space="preserve">Con fecha 31 de julio de 2020, </w:t>
      </w:r>
      <w:r w:rsidR="00AC15AC" w:rsidRPr="00217230">
        <w:rPr>
          <w:rFonts w:cstheme="minorHAnsi"/>
          <w:lang w:val="es-ES"/>
        </w:rPr>
        <w:t>la Segunda Sala de Derecho Constitucional y Social Transitoria de la Corte Suprema de justicia de la República, emitió</w:t>
      </w:r>
      <w:r w:rsidRPr="00217230">
        <w:rPr>
          <w:rFonts w:cstheme="minorHAnsi"/>
          <w:lang w:val="es-ES"/>
        </w:rPr>
        <w:t xml:space="preserve"> la Casación Laboral 8389-2018-MOQUEGUA, la cual resuelve el recurso de casación interpuesto por la demandada Superintendencia Nacional de Fiscalización Laboral (SUNAFIL), contra la sentencia de vista que revocó la sentencia de primera instancia que declaró infundada la demanda, reformándola la declararon fundada, en el proceso seguido por la Universidad José Carlos Mariátegui, sobre nulidad de acto administrativo.</w:t>
      </w:r>
    </w:p>
    <w:p w14:paraId="718B6595" w14:textId="2D1E5E71" w:rsidR="0006017E" w:rsidRPr="00217230" w:rsidRDefault="0006017E" w:rsidP="00F723FF">
      <w:pPr>
        <w:pStyle w:val="NormalWeb"/>
        <w:spacing w:line="360" w:lineRule="auto"/>
        <w:jc w:val="both"/>
        <w:rPr>
          <w:rFonts w:asciiTheme="minorHAnsi" w:hAnsiTheme="minorHAnsi" w:cstheme="minorHAnsi"/>
        </w:rPr>
      </w:pPr>
      <w:r w:rsidRPr="00217230">
        <w:rPr>
          <w:rFonts w:asciiTheme="minorHAnsi" w:hAnsiTheme="minorHAnsi" w:cstheme="minorHAnsi"/>
        </w:rPr>
        <w:t>Mediante Acta de Infracción N° 025-2015</w:t>
      </w:r>
      <w:r w:rsidR="0045667A" w:rsidRPr="00217230">
        <w:rPr>
          <w:rFonts w:asciiTheme="minorHAnsi" w:hAnsiTheme="minorHAnsi" w:cstheme="minorHAnsi"/>
        </w:rPr>
        <w:t>, de fecha 26 de febrero de 2015, el inspector de trabajo propuso como sanción a la universidad demandante una multa ascendente a la suma de S/ 19,250.00 soles, al haber incurrido en sanciones muy graves</w:t>
      </w:r>
      <w:r w:rsidR="00704793" w:rsidRPr="00217230">
        <w:rPr>
          <w:rFonts w:asciiTheme="minorHAnsi" w:hAnsiTheme="minorHAnsi" w:cstheme="minorHAnsi"/>
        </w:rPr>
        <w:t>, al no haber acreditado las causas del traslado de la traba</w:t>
      </w:r>
      <w:r w:rsidR="00E336F0" w:rsidRPr="00217230">
        <w:rPr>
          <w:rFonts w:asciiTheme="minorHAnsi" w:hAnsiTheme="minorHAnsi" w:cstheme="minorHAnsi"/>
        </w:rPr>
        <w:t>jadora de su lugar habitual de labores en la ciudad de Moquegua a Puno.</w:t>
      </w:r>
    </w:p>
    <w:p w14:paraId="372277D0" w14:textId="77777777" w:rsidR="00F723FF" w:rsidRPr="00217230" w:rsidRDefault="00B3230C" w:rsidP="00F723FF">
      <w:pPr>
        <w:pStyle w:val="NormalWeb"/>
        <w:spacing w:line="360" w:lineRule="auto"/>
        <w:jc w:val="both"/>
        <w:rPr>
          <w:rFonts w:asciiTheme="minorHAnsi" w:hAnsiTheme="minorHAnsi" w:cstheme="minorHAnsi"/>
        </w:rPr>
      </w:pPr>
      <w:r w:rsidRPr="00217230">
        <w:rPr>
          <w:rFonts w:asciiTheme="minorHAnsi" w:hAnsiTheme="minorHAnsi" w:cstheme="minorHAnsi"/>
        </w:rPr>
        <w:t xml:space="preserve">La accionante solicitó que se declare la nulidad de la Resolución de Intendencia 010-2015-SUNAFIL/IRE.MOQ, de fecha 17 de septiembre de 2015 y de la </w:t>
      </w:r>
      <w:r w:rsidRPr="00217230">
        <w:rPr>
          <w:rFonts w:asciiTheme="minorHAnsi" w:hAnsiTheme="minorHAnsi" w:cstheme="minorHAnsi"/>
        </w:rPr>
        <w:t xml:space="preserve">Resolución de Sub Intendencia N° 016-2015-SUNAFIL/IRE.MOQ/SIRE, de fecha </w:t>
      </w:r>
      <w:r w:rsidRPr="00217230">
        <w:rPr>
          <w:rFonts w:asciiTheme="minorHAnsi" w:hAnsiTheme="minorHAnsi" w:cstheme="minorHAnsi"/>
        </w:rPr>
        <w:t>24</w:t>
      </w:r>
      <w:r w:rsidRPr="00217230">
        <w:rPr>
          <w:rFonts w:asciiTheme="minorHAnsi" w:hAnsiTheme="minorHAnsi" w:cstheme="minorHAnsi"/>
        </w:rPr>
        <w:t xml:space="preserve"> de julio de </w:t>
      </w:r>
      <w:r w:rsidRPr="00217230">
        <w:rPr>
          <w:rFonts w:asciiTheme="minorHAnsi" w:hAnsiTheme="minorHAnsi" w:cstheme="minorHAnsi"/>
        </w:rPr>
        <w:t>2015</w:t>
      </w:r>
      <w:r w:rsidRPr="00217230">
        <w:rPr>
          <w:rFonts w:asciiTheme="minorHAnsi" w:hAnsiTheme="minorHAnsi" w:cstheme="minorHAnsi"/>
        </w:rPr>
        <w:t xml:space="preserve">, </w:t>
      </w:r>
      <w:r w:rsidRPr="00217230">
        <w:rPr>
          <w:rFonts w:asciiTheme="minorHAnsi" w:hAnsiTheme="minorHAnsi" w:cstheme="minorHAnsi"/>
        </w:rPr>
        <w:t>al haber trasladado a una trabajadora sin justificación a otra ciudad.</w:t>
      </w:r>
    </w:p>
    <w:p w14:paraId="1EE108BC" w14:textId="77777777" w:rsidR="00487316" w:rsidRPr="00217230" w:rsidRDefault="00F723FF" w:rsidP="00487316">
      <w:pPr>
        <w:pStyle w:val="NormalWeb"/>
        <w:spacing w:line="360" w:lineRule="auto"/>
        <w:jc w:val="both"/>
        <w:rPr>
          <w:rFonts w:asciiTheme="minorHAnsi" w:hAnsiTheme="minorHAnsi" w:cstheme="minorHAnsi"/>
        </w:rPr>
      </w:pPr>
      <w:r w:rsidRPr="00217230">
        <w:rPr>
          <w:rFonts w:asciiTheme="minorHAnsi" w:hAnsiTheme="minorHAnsi" w:cstheme="minorHAnsi"/>
        </w:rPr>
        <w:t>L</w:t>
      </w:r>
      <w:r w:rsidRPr="00217230">
        <w:rPr>
          <w:rFonts w:asciiTheme="minorHAnsi" w:hAnsiTheme="minorHAnsi" w:cstheme="minorHAnsi"/>
        </w:rPr>
        <w:t>a Sala Mixta de la misma Corte Superior, mediante Sentencia de Vista, revocó y reformó la sentencia de primera instancia, declarándola fundada, argumentando que no existe doble sanción, por cuanto si bien en el Expediente judicial N° 0043-2015 seguido por la trabajadora contra la Universidad, ahora demandante sobre cese de actos de hostilidad, en primera instancia se declaró fundada la demanda, disponiendo se deje sin efecto el traslado de la trabajadora, también aplicaba una multa de veinte URP.</w:t>
      </w:r>
      <w:r w:rsidRPr="00217230">
        <w:rPr>
          <w:rFonts w:asciiTheme="minorHAnsi" w:hAnsiTheme="minorHAnsi" w:cstheme="minorHAnsi"/>
        </w:rPr>
        <w:t xml:space="preserve"> </w:t>
      </w:r>
      <w:r w:rsidRPr="00217230">
        <w:rPr>
          <w:rFonts w:asciiTheme="minorHAnsi" w:hAnsiTheme="minorHAnsi" w:cstheme="minorHAnsi"/>
        </w:rPr>
        <w:t xml:space="preserve">La Sala Superior, revocó la sentencia, porque al no haberse constituida la actora a su nueva sede de labores, fue despedida por abandono de trabajo y se habría generado sustracción de la materia deviniendo en improcedente la demanda. </w:t>
      </w:r>
      <w:r w:rsidRPr="00217230">
        <w:rPr>
          <w:rFonts w:asciiTheme="minorHAnsi" w:hAnsiTheme="minorHAnsi" w:cstheme="minorHAnsi"/>
          <w:b/>
          <w:bCs/>
        </w:rPr>
        <w:t xml:space="preserve">Pese a que la demandante comunicó a </w:t>
      </w:r>
      <w:r w:rsidRPr="00217230">
        <w:rPr>
          <w:rFonts w:asciiTheme="minorHAnsi" w:hAnsiTheme="minorHAnsi" w:cstheme="minorHAnsi"/>
          <w:b/>
          <w:bCs/>
        </w:rPr>
        <w:t xml:space="preserve">SUNAFIL </w:t>
      </w:r>
      <w:r w:rsidRPr="00217230">
        <w:rPr>
          <w:rFonts w:asciiTheme="minorHAnsi" w:hAnsiTheme="minorHAnsi" w:cstheme="minorHAnsi"/>
          <w:b/>
          <w:bCs/>
        </w:rPr>
        <w:t xml:space="preserve">con fecha diecinueve de junio de dos mil quince que el tema en controversia se encontraba judicializado, el procedimiento continuó. </w:t>
      </w:r>
      <w:r w:rsidRPr="00217230">
        <w:rPr>
          <w:rFonts w:asciiTheme="minorHAnsi" w:hAnsiTheme="minorHAnsi" w:cstheme="minorHAnsi"/>
        </w:rPr>
        <w:t xml:space="preserve">SUNAFIL </w:t>
      </w:r>
      <w:r w:rsidRPr="00217230">
        <w:rPr>
          <w:rFonts w:asciiTheme="minorHAnsi" w:hAnsiTheme="minorHAnsi" w:cstheme="minorHAnsi"/>
        </w:rPr>
        <w:t xml:space="preserve">por su parte, señala </w:t>
      </w:r>
      <w:r w:rsidRPr="00217230">
        <w:rPr>
          <w:rFonts w:asciiTheme="minorHAnsi" w:hAnsiTheme="minorHAnsi" w:cstheme="minorHAnsi"/>
        </w:rPr>
        <w:lastRenderedPageBreak/>
        <w:t>que solo procede el artículo</w:t>
      </w:r>
      <w:r w:rsidRPr="00217230">
        <w:rPr>
          <w:rFonts w:asciiTheme="minorHAnsi" w:hAnsiTheme="minorHAnsi" w:cstheme="minorHAnsi"/>
        </w:rPr>
        <w:t xml:space="preserve"> </w:t>
      </w:r>
      <w:r w:rsidRPr="00217230">
        <w:rPr>
          <w:rFonts w:asciiTheme="minorHAnsi" w:hAnsiTheme="minorHAnsi" w:cstheme="minorHAnsi"/>
        </w:rPr>
        <w:t>64</w:t>
      </w:r>
      <w:r w:rsidRPr="00217230">
        <w:rPr>
          <w:rFonts w:asciiTheme="minorHAnsi" w:hAnsiTheme="minorHAnsi" w:cstheme="minorHAnsi"/>
        </w:rPr>
        <w:t xml:space="preserve"> </w:t>
      </w:r>
      <w:r w:rsidRPr="00217230">
        <w:rPr>
          <w:rFonts w:asciiTheme="minorHAnsi" w:hAnsiTheme="minorHAnsi" w:cstheme="minorHAnsi"/>
        </w:rPr>
        <w:t>de</w:t>
      </w:r>
      <w:r w:rsidRPr="00217230">
        <w:rPr>
          <w:rFonts w:asciiTheme="minorHAnsi" w:hAnsiTheme="minorHAnsi" w:cstheme="minorHAnsi"/>
        </w:rPr>
        <w:t xml:space="preserve"> </w:t>
      </w:r>
      <w:r w:rsidRPr="00217230">
        <w:rPr>
          <w:rFonts w:asciiTheme="minorHAnsi" w:hAnsiTheme="minorHAnsi" w:cstheme="minorHAnsi"/>
        </w:rPr>
        <w:t>la</w:t>
      </w:r>
      <w:r w:rsidRPr="00217230">
        <w:rPr>
          <w:rFonts w:asciiTheme="minorHAnsi" w:hAnsiTheme="minorHAnsi" w:cstheme="minorHAnsi"/>
        </w:rPr>
        <w:t xml:space="preserve"> </w:t>
      </w:r>
      <w:r w:rsidRPr="00217230">
        <w:rPr>
          <w:rFonts w:asciiTheme="minorHAnsi" w:hAnsiTheme="minorHAnsi" w:cstheme="minorHAnsi"/>
        </w:rPr>
        <w:t>Ley</w:t>
      </w:r>
      <w:r w:rsidRPr="00217230">
        <w:rPr>
          <w:rFonts w:asciiTheme="minorHAnsi" w:hAnsiTheme="minorHAnsi" w:cstheme="minorHAnsi"/>
        </w:rPr>
        <w:t xml:space="preserve"> </w:t>
      </w:r>
      <w:r w:rsidRPr="00217230">
        <w:rPr>
          <w:rFonts w:asciiTheme="minorHAnsi" w:hAnsiTheme="minorHAnsi" w:cstheme="minorHAnsi"/>
        </w:rPr>
        <w:t>27444,</w:t>
      </w:r>
      <w:r w:rsidRPr="00217230">
        <w:rPr>
          <w:rFonts w:asciiTheme="minorHAnsi" w:hAnsiTheme="minorHAnsi" w:cstheme="minorHAnsi"/>
        </w:rPr>
        <w:t xml:space="preserve"> </w:t>
      </w:r>
      <w:r w:rsidRPr="00217230">
        <w:rPr>
          <w:rFonts w:asciiTheme="minorHAnsi" w:hAnsiTheme="minorHAnsi" w:cstheme="minorHAnsi"/>
        </w:rPr>
        <w:t>en</w:t>
      </w:r>
      <w:r w:rsidRPr="00217230">
        <w:rPr>
          <w:rFonts w:asciiTheme="minorHAnsi" w:hAnsiTheme="minorHAnsi" w:cstheme="minorHAnsi"/>
        </w:rPr>
        <w:t xml:space="preserve"> </w:t>
      </w:r>
      <w:r w:rsidRPr="00217230">
        <w:rPr>
          <w:rFonts w:asciiTheme="minorHAnsi" w:hAnsiTheme="minorHAnsi" w:cstheme="minorHAnsi"/>
        </w:rPr>
        <w:t>aquellos</w:t>
      </w:r>
      <w:r w:rsidRPr="00217230">
        <w:rPr>
          <w:rFonts w:asciiTheme="minorHAnsi" w:hAnsiTheme="minorHAnsi" w:cstheme="minorHAnsi"/>
        </w:rPr>
        <w:t xml:space="preserve"> </w:t>
      </w:r>
      <w:r w:rsidRPr="00217230">
        <w:rPr>
          <w:rFonts w:asciiTheme="minorHAnsi" w:hAnsiTheme="minorHAnsi" w:cstheme="minorHAnsi"/>
        </w:rPr>
        <w:t>casos en</w:t>
      </w:r>
      <w:r w:rsidRPr="00217230">
        <w:rPr>
          <w:rFonts w:asciiTheme="minorHAnsi" w:hAnsiTheme="minorHAnsi" w:cstheme="minorHAnsi"/>
        </w:rPr>
        <w:t xml:space="preserve"> </w:t>
      </w:r>
      <w:r w:rsidRPr="00217230">
        <w:rPr>
          <w:rFonts w:asciiTheme="minorHAnsi" w:hAnsiTheme="minorHAnsi" w:cstheme="minorHAnsi"/>
        </w:rPr>
        <w:t>los</w:t>
      </w:r>
      <w:r w:rsidRPr="00217230">
        <w:rPr>
          <w:rFonts w:asciiTheme="minorHAnsi" w:hAnsiTheme="minorHAnsi" w:cstheme="minorHAnsi"/>
        </w:rPr>
        <w:t xml:space="preserve"> </w:t>
      </w:r>
      <w:r w:rsidRPr="00217230">
        <w:rPr>
          <w:rFonts w:asciiTheme="minorHAnsi" w:hAnsiTheme="minorHAnsi" w:cstheme="minorHAnsi"/>
        </w:rPr>
        <w:t>cuales</w:t>
      </w:r>
      <w:r w:rsidRPr="00217230">
        <w:rPr>
          <w:rFonts w:asciiTheme="minorHAnsi" w:hAnsiTheme="minorHAnsi" w:cstheme="minorHAnsi"/>
        </w:rPr>
        <w:t xml:space="preserve"> </w:t>
      </w:r>
      <w:r w:rsidRPr="00217230">
        <w:rPr>
          <w:rFonts w:asciiTheme="minorHAnsi" w:hAnsiTheme="minorHAnsi" w:cstheme="minorHAnsi"/>
        </w:rPr>
        <w:t>el</w:t>
      </w:r>
      <w:r w:rsidRPr="00217230">
        <w:rPr>
          <w:rFonts w:asciiTheme="minorHAnsi" w:hAnsiTheme="minorHAnsi" w:cstheme="minorHAnsi"/>
        </w:rPr>
        <w:t xml:space="preserve"> </w:t>
      </w:r>
      <w:r w:rsidRPr="00217230">
        <w:rPr>
          <w:rFonts w:asciiTheme="minorHAnsi" w:hAnsiTheme="minorHAnsi" w:cstheme="minorHAnsi"/>
        </w:rPr>
        <w:t>Poder</w:t>
      </w:r>
      <w:r w:rsidRPr="00217230">
        <w:rPr>
          <w:rFonts w:asciiTheme="minorHAnsi" w:hAnsiTheme="minorHAnsi" w:cstheme="minorHAnsi"/>
        </w:rPr>
        <w:t xml:space="preserve"> </w:t>
      </w:r>
      <w:r w:rsidRPr="00217230">
        <w:rPr>
          <w:rFonts w:asciiTheme="minorHAnsi" w:hAnsiTheme="minorHAnsi" w:cstheme="minorHAnsi"/>
        </w:rPr>
        <w:t>Judicial ha iniciado antes el trámite, es decir sea de conocimiento previo</w:t>
      </w:r>
      <w:r w:rsidRPr="00217230">
        <w:rPr>
          <w:rFonts w:asciiTheme="minorHAnsi" w:hAnsiTheme="minorHAnsi" w:cstheme="minorHAnsi"/>
        </w:rPr>
        <w:t xml:space="preserve"> </w:t>
      </w:r>
      <w:r w:rsidR="00AC15AC" w:rsidRPr="00217230">
        <w:rPr>
          <w:rFonts w:asciiTheme="minorHAnsi" w:hAnsiTheme="minorHAnsi" w:cstheme="minorHAnsi"/>
        </w:rPr>
        <w:t xml:space="preserve">la resolución final de </w:t>
      </w:r>
      <w:r w:rsidR="00AC15AC" w:rsidRPr="00217230">
        <w:rPr>
          <w:rFonts w:asciiTheme="minorHAnsi" w:hAnsiTheme="minorHAnsi" w:cstheme="minorHAnsi"/>
        </w:rPr>
        <w:t xml:space="preserve">SUNAFIL </w:t>
      </w:r>
      <w:r w:rsidR="00AC15AC" w:rsidRPr="00217230">
        <w:rPr>
          <w:rFonts w:asciiTheme="minorHAnsi" w:hAnsiTheme="minorHAnsi" w:cstheme="minorHAnsi"/>
        </w:rPr>
        <w:t>puede ser cuestionada en vía contencioso administrativ</w:t>
      </w:r>
      <w:r w:rsidR="00AC15AC" w:rsidRPr="00217230">
        <w:rPr>
          <w:rFonts w:asciiTheme="minorHAnsi" w:hAnsiTheme="minorHAnsi" w:cstheme="minorHAnsi"/>
        </w:rPr>
        <w:t>o</w:t>
      </w:r>
      <w:r w:rsidR="00AC15AC" w:rsidRPr="00217230">
        <w:rPr>
          <w:rFonts w:asciiTheme="minorHAnsi" w:hAnsiTheme="minorHAnsi" w:cstheme="minorHAnsi"/>
        </w:rPr>
        <w:t xml:space="preserve"> y como tal no habría infringido la norma antes mencionada; sin embargo, no se ha cumplido con lo establecido en tal dispositivo porque sin solicitar las actuaciones judiciales realizadas ha emitido pronunciamiento final, tanto más si la norma permite en todo caso, inhibirse o no. Por otro lado, señala que, si bien el procedimiento sancionador se tramita, sin perjuicios de las acciones que pudiera ejecutar el trabajador ante las instancias judiciales, conforme a lo establecido en el artículo 53.3</w:t>
      </w:r>
      <w:r w:rsidR="00487316" w:rsidRPr="00217230">
        <w:rPr>
          <w:rFonts w:asciiTheme="minorHAnsi" w:hAnsiTheme="minorHAnsi" w:cstheme="minorHAnsi"/>
        </w:rPr>
        <w:t xml:space="preserve"> </w:t>
      </w:r>
      <w:r w:rsidR="00AC15AC" w:rsidRPr="00217230">
        <w:rPr>
          <w:rFonts w:asciiTheme="minorHAnsi" w:hAnsiTheme="minorHAnsi" w:cstheme="minorHAnsi"/>
        </w:rPr>
        <w:t xml:space="preserve">del Reglamento de la Ley, es una norma reglamentaria y existe una incompatibilidad entre dicha norma y el artículo 4° de la Ley Orgánica del Poder Judicial, </w:t>
      </w:r>
      <w:r w:rsidR="00487316" w:rsidRPr="00217230">
        <w:rPr>
          <w:rFonts w:asciiTheme="minorHAnsi" w:hAnsiTheme="minorHAnsi" w:cstheme="minorHAnsi"/>
        </w:rPr>
        <w:t>consecuentemente la actuación judicial prevalece sobre la administrativa. Asimismo, agrega, que si bien la Ley 28806 y el Decreto Supremo 019-2006 establecen como falta muy grave los actos de hostilidad, debiendo interpretarse esta facultad de calificación y eventual sanción, en la medida que el caso no sea judicializado, pero no cuando un Juez haya asumido competencia funcional.</w:t>
      </w:r>
    </w:p>
    <w:p w14:paraId="3080C03D" w14:textId="77777777" w:rsidR="00217230" w:rsidRDefault="00217230" w:rsidP="00487316">
      <w:pPr>
        <w:pStyle w:val="NormalWeb"/>
        <w:spacing w:line="360" w:lineRule="auto"/>
        <w:jc w:val="both"/>
        <w:rPr>
          <w:rFonts w:asciiTheme="minorHAnsi" w:hAnsiTheme="minorHAnsi" w:cstheme="minorHAnsi"/>
          <w:b/>
          <w:bCs/>
          <w:lang w:val="es-ES"/>
        </w:rPr>
      </w:pPr>
    </w:p>
    <w:p w14:paraId="1DFE205C" w14:textId="0309F821" w:rsidR="00271AA8" w:rsidRPr="00217230" w:rsidRDefault="00217230" w:rsidP="00487316">
      <w:pPr>
        <w:pStyle w:val="NormalWeb"/>
        <w:spacing w:line="360" w:lineRule="auto"/>
        <w:jc w:val="both"/>
        <w:rPr>
          <w:rFonts w:asciiTheme="minorHAnsi" w:hAnsiTheme="minorHAnsi" w:cstheme="minorHAnsi"/>
          <w:b/>
          <w:bCs/>
          <w:lang w:val="es-ES"/>
        </w:rPr>
      </w:pPr>
      <w:r>
        <w:rPr>
          <w:rFonts w:asciiTheme="minorHAnsi" w:hAnsiTheme="minorHAnsi" w:cstheme="minorHAnsi"/>
          <w:b/>
          <w:bCs/>
          <w:lang w:val="es-ES"/>
        </w:rPr>
        <w:t>CRITERIO DE LA SALA SUPREMA</w:t>
      </w:r>
    </w:p>
    <w:p w14:paraId="1C9A31D7" w14:textId="5805002A" w:rsidR="00271AA8" w:rsidRPr="00217230" w:rsidRDefault="00271AA8" w:rsidP="00271AA8">
      <w:pPr>
        <w:pStyle w:val="NormalWeb"/>
        <w:spacing w:line="360" w:lineRule="auto"/>
        <w:jc w:val="both"/>
        <w:rPr>
          <w:rFonts w:asciiTheme="minorHAnsi" w:hAnsiTheme="minorHAnsi" w:cstheme="minorHAnsi"/>
        </w:rPr>
      </w:pPr>
      <w:r w:rsidRPr="00217230">
        <w:rPr>
          <w:rFonts w:asciiTheme="minorHAnsi" w:hAnsiTheme="minorHAnsi" w:cstheme="minorHAnsi"/>
        </w:rPr>
        <w:t>L</w:t>
      </w:r>
      <w:r w:rsidR="00217230" w:rsidRPr="00217230">
        <w:rPr>
          <w:rFonts w:asciiTheme="minorHAnsi" w:hAnsiTheme="minorHAnsi" w:cstheme="minorHAnsi"/>
        </w:rPr>
        <w:t xml:space="preserve">os Magistrados de la Segunda Sala señalaron que, </w:t>
      </w:r>
      <w:r w:rsidRPr="00217230">
        <w:rPr>
          <w:rFonts w:asciiTheme="minorHAnsi" w:hAnsiTheme="minorHAnsi" w:cstheme="minorHAnsi"/>
        </w:rPr>
        <w:t>Sunafil teniendo conocimiento del proceso judicial que existía entre la trabajadora contra la Universidad José Carlos Mariátegui, sobre cese de actos de hostilidad y que con fecha dieciséis de octubre de dos mil dieciocho, es</w:t>
      </w:r>
      <w:r w:rsidR="00217230" w:rsidRPr="00217230">
        <w:rPr>
          <w:rFonts w:asciiTheme="minorHAnsi" w:hAnsiTheme="minorHAnsi" w:cstheme="minorHAnsi"/>
        </w:rPr>
        <w:t>a misma</w:t>
      </w:r>
      <w:r w:rsidRPr="00217230">
        <w:rPr>
          <w:rFonts w:asciiTheme="minorHAnsi" w:hAnsiTheme="minorHAnsi" w:cstheme="minorHAnsi"/>
        </w:rPr>
        <w:t xml:space="preserve"> Sala Suprema declaró fundado el recurso de casación interpuesto por la trabajadora demandante, y consecuentemente nula la sentencia de vista, ordenando que la Sala Superior emita nueva sentencia; este órgano administrativo</w:t>
      </w:r>
      <w:r w:rsidR="00217230" w:rsidRPr="00217230">
        <w:rPr>
          <w:rFonts w:asciiTheme="minorHAnsi" w:hAnsiTheme="minorHAnsi" w:cstheme="minorHAnsi"/>
        </w:rPr>
        <w:t xml:space="preserve"> (SUNAFIL),</w:t>
      </w:r>
      <w:r w:rsidRPr="00217230">
        <w:rPr>
          <w:rFonts w:asciiTheme="minorHAnsi" w:hAnsiTheme="minorHAnsi" w:cstheme="minorHAnsi"/>
        </w:rPr>
        <w:t xml:space="preserve"> debió de abstenerse de pronunciarse sobre la supuesta infracción incurrida, si tomó conocimiento que sobre el mismo existe un proceso judicial, </w:t>
      </w:r>
      <w:r w:rsidR="00217230" w:rsidRPr="00217230">
        <w:rPr>
          <w:rFonts w:asciiTheme="minorHAnsi" w:hAnsiTheme="minorHAnsi" w:cstheme="minorHAnsi"/>
        </w:rPr>
        <w:t>mas aun cuando la</w:t>
      </w:r>
      <w:r w:rsidRPr="00217230">
        <w:rPr>
          <w:rFonts w:asciiTheme="minorHAnsi" w:hAnsiTheme="minorHAnsi" w:cstheme="minorHAnsi"/>
        </w:rPr>
        <w:t xml:space="preserve"> Universidad José Carlos Mariátegui, </w:t>
      </w:r>
      <w:r w:rsidR="00217230" w:rsidRPr="00217230">
        <w:rPr>
          <w:rFonts w:asciiTheme="minorHAnsi" w:hAnsiTheme="minorHAnsi" w:cstheme="minorHAnsi"/>
        </w:rPr>
        <w:t xml:space="preserve">con fecha </w:t>
      </w:r>
      <w:r w:rsidR="00217230" w:rsidRPr="00217230">
        <w:rPr>
          <w:rFonts w:asciiTheme="minorHAnsi" w:hAnsiTheme="minorHAnsi" w:cstheme="minorHAnsi"/>
        </w:rPr>
        <w:t>20</w:t>
      </w:r>
      <w:r w:rsidR="00217230" w:rsidRPr="00217230">
        <w:rPr>
          <w:rFonts w:asciiTheme="minorHAnsi" w:hAnsiTheme="minorHAnsi" w:cstheme="minorHAnsi"/>
        </w:rPr>
        <w:t xml:space="preserve"> de junio de </w:t>
      </w:r>
      <w:r w:rsidR="00217230" w:rsidRPr="00217230">
        <w:rPr>
          <w:rFonts w:asciiTheme="minorHAnsi" w:hAnsiTheme="minorHAnsi" w:cstheme="minorHAnsi"/>
        </w:rPr>
        <w:t xml:space="preserve">2015, </w:t>
      </w:r>
      <w:r w:rsidRPr="00217230">
        <w:rPr>
          <w:rFonts w:asciiTheme="minorHAnsi" w:hAnsiTheme="minorHAnsi" w:cstheme="minorHAnsi"/>
        </w:rPr>
        <w:t>comunicó que existía un proceso judicial sobre cese de actos de hostilidad.</w:t>
      </w:r>
      <w:r w:rsidR="00217230" w:rsidRPr="00217230">
        <w:rPr>
          <w:rFonts w:asciiTheme="minorHAnsi" w:hAnsiTheme="minorHAnsi" w:cstheme="minorHAnsi"/>
        </w:rPr>
        <w:t xml:space="preserve"> </w:t>
      </w:r>
      <w:r w:rsidRPr="00217230">
        <w:rPr>
          <w:rFonts w:asciiTheme="minorHAnsi" w:hAnsiTheme="minorHAnsi" w:cstheme="minorHAnsi"/>
          <w:b/>
          <w:bCs/>
        </w:rPr>
        <w:t>Evitándose de esta manera que la administración califique el hecho como hostil y el órgano jurisdiccional como no hostil,</w:t>
      </w:r>
      <w:r w:rsidRPr="00217230">
        <w:rPr>
          <w:rFonts w:asciiTheme="minorHAnsi" w:hAnsiTheme="minorHAnsi" w:cstheme="minorHAnsi"/>
        </w:rPr>
        <w:t xml:space="preserve"> vulnerándose no solo el artículo 4° del Texto Único Ordenado de la Ley Orgánica del </w:t>
      </w:r>
      <w:r w:rsidRPr="00217230">
        <w:rPr>
          <w:rFonts w:asciiTheme="minorHAnsi" w:hAnsiTheme="minorHAnsi" w:cstheme="minorHAnsi"/>
        </w:rPr>
        <w:lastRenderedPageBreak/>
        <w:t xml:space="preserve">Poder Judicial sino también se vulnera el derecho a la tutela procesal efectiva, máxime si la litis aún no se encuentra resuelta. </w:t>
      </w:r>
    </w:p>
    <w:p w14:paraId="7E74430E" w14:textId="67216E26" w:rsidR="00487316" w:rsidRPr="00271AA8" w:rsidRDefault="00217230" w:rsidP="00271AA8">
      <w:pPr>
        <w:pStyle w:val="NormalWeb"/>
        <w:spacing w:line="360" w:lineRule="auto"/>
        <w:jc w:val="both"/>
        <w:rPr>
          <w:rFonts w:asciiTheme="minorHAnsi" w:hAnsiTheme="minorHAnsi" w:cstheme="minorHAnsi"/>
        </w:rPr>
      </w:pPr>
      <w:r>
        <w:rPr>
          <w:rFonts w:asciiTheme="minorHAnsi" w:hAnsiTheme="minorHAnsi" w:cstheme="minorHAnsi"/>
        </w:rPr>
        <w:t xml:space="preserve">En ese sentido fue declarado </w:t>
      </w:r>
      <w:r w:rsidRPr="00217230">
        <w:rPr>
          <w:rFonts w:asciiTheme="minorHAnsi" w:hAnsiTheme="minorHAnsi" w:cstheme="minorHAnsi"/>
          <w:b/>
          <w:bCs/>
        </w:rPr>
        <w:t>INFUNDADO</w:t>
      </w:r>
      <w:r>
        <w:rPr>
          <w:rFonts w:asciiTheme="minorHAnsi" w:hAnsiTheme="minorHAnsi" w:cstheme="minorHAnsi"/>
        </w:rPr>
        <w:t xml:space="preserve"> el recurso de casación interpuesto por SUNAFIL.</w:t>
      </w:r>
    </w:p>
    <w:p w14:paraId="1D5F8B5B" w14:textId="0632FD62" w:rsidR="00487316" w:rsidRPr="00271AA8" w:rsidRDefault="00217230" w:rsidP="00271AA8">
      <w:pPr>
        <w:pStyle w:val="NormalWeb"/>
        <w:spacing w:line="360" w:lineRule="auto"/>
        <w:jc w:val="both"/>
        <w:rPr>
          <w:rFonts w:asciiTheme="minorHAnsi" w:hAnsiTheme="minorHAnsi" w:cstheme="minorHAnsi"/>
        </w:rPr>
      </w:pPr>
      <w:r>
        <w:rPr>
          <w:rFonts w:asciiTheme="minorHAnsi" w:hAnsiTheme="minorHAnsi" w:cstheme="minorHAnsi"/>
        </w:rPr>
        <w:t>Dejamos a su disposición la referida resolución.</w:t>
      </w:r>
    </w:p>
    <w:sectPr w:rsidR="00487316" w:rsidRPr="00271AA8" w:rsidSect="00D8775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748DC" w14:textId="77777777" w:rsidR="0082160F" w:rsidRDefault="0082160F" w:rsidP="000D724B">
      <w:r>
        <w:separator/>
      </w:r>
    </w:p>
  </w:endnote>
  <w:endnote w:type="continuationSeparator" w:id="0">
    <w:p w14:paraId="1DF8AF2A" w14:textId="77777777" w:rsidR="0082160F" w:rsidRDefault="0082160F" w:rsidP="000D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44FE" w14:textId="77777777" w:rsidR="0082160F" w:rsidRDefault="0082160F" w:rsidP="000D724B">
      <w:r>
        <w:separator/>
      </w:r>
    </w:p>
  </w:footnote>
  <w:footnote w:type="continuationSeparator" w:id="0">
    <w:p w14:paraId="17B7F3D1" w14:textId="77777777" w:rsidR="0082160F" w:rsidRDefault="0082160F" w:rsidP="000D7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4B"/>
    <w:rsid w:val="0006017E"/>
    <w:rsid w:val="000A3884"/>
    <w:rsid w:val="000D724B"/>
    <w:rsid w:val="00217230"/>
    <w:rsid w:val="00271AA8"/>
    <w:rsid w:val="0045667A"/>
    <w:rsid w:val="00487316"/>
    <w:rsid w:val="00704793"/>
    <w:rsid w:val="0082160F"/>
    <w:rsid w:val="00860867"/>
    <w:rsid w:val="00AC15AC"/>
    <w:rsid w:val="00B3230C"/>
    <w:rsid w:val="00D87755"/>
    <w:rsid w:val="00E336F0"/>
    <w:rsid w:val="00F723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141E08F5"/>
  <w15:chartTrackingRefBased/>
  <w15:docId w15:val="{4FF339B6-73E7-C443-9144-A58C9BCB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724B"/>
    <w:pPr>
      <w:tabs>
        <w:tab w:val="center" w:pos="4419"/>
        <w:tab w:val="right" w:pos="8838"/>
      </w:tabs>
    </w:pPr>
  </w:style>
  <w:style w:type="character" w:customStyle="1" w:styleId="EncabezadoCar">
    <w:name w:val="Encabezado Car"/>
    <w:basedOn w:val="Fuentedeprrafopredeter"/>
    <w:link w:val="Encabezado"/>
    <w:uiPriority w:val="99"/>
    <w:rsid w:val="000D724B"/>
  </w:style>
  <w:style w:type="paragraph" w:styleId="Piedepgina">
    <w:name w:val="footer"/>
    <w:basedOn w:val="Normal"/>
    <w:link w:val="PiedepginaCar"/>
    <w:uiPriority w:val="99"/>
    <w:unhideWhenUsed/>
    <w:rsid w:val="000D724B"/>
    <w:pPr>
      <w:tabs>
        <w:tab w:val="center" w:pos="4419"/>
        <w:tab w:val="right" w:pos="8838"/>
      </w:tabs>
    </w:pPr>
  </w:style>
  <w:style w:type="character" w:customStyle="1" w:styleId="PiedepginaCar">
    <w:name w:val="Pie de página Car"/>
    <w:basedOn w:val="Fuentedeprrafopredeter"/>
    <w:link w:val="Piedepgina"/>
    <w:uiPriority w:val="99"/>
    <w:rsid w:val="000D724B"/>
  </w:style>
  <w:style w:type="paragraph" w:styleId="NormalWeb">
    <w:name w:val="Normal (Web)"/>
    <w:basedOn w:val="Normal"/>
    <w:uiPriority w:val="99"/>
    <w:unhideWhenUsed/>
    <w:rsid w:val="0006017E"/>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9623">
      <w:bodyDiv w:val="1"/>
      <w:marLeft w:val="0"/>
      <w:marRight w:val="0"/>
      <w:marTop w:val="0"/>
      <w:marBottom w:val="0"/>
      <w:divBdr>
        <w:top w:val="none" w:sz="0" w:space="0" w:color="auto"/>
        <w:left w:val="none" w:sz="0" w:space="0" w:color="auto"/>
        <w:bottom w:val="none" w:sz="0" w:space="0" w:color="auto"/>
        <w:right w:val="none" w:sz="0" w:space="0" w:color="auto"/>
      </w:divBdr>
      <w:divsChild>
        <w:div w:id="2013484245">
          <w:marLeft w:val="0"/>
          <w:marRight w:val="0"/>
          <w:marTop w:val="0"/>
          <w:marBottom w:val="0"/>
          <w:divBdr>
            <w:top w:val="none" w:sz="0" w:space="0" w:color="auto"/>
            <w:left w:val="none" w:sz="0" w:space="0" w:color="auto"/>
            <w:bottom w:val="none" w:sz="0" w:space="0" w:color="auto"/>
            <w:right w:val="none" w:sz="0" w:space="0" w:color="auto"/>
          </w:divBdr>
          <w:divsChild>
            <w:div w:id="1053503708">
              <w:marLeft w:val="0"/>
              <w:marRight w:val="0"/>
              <w:marTop w:val="0"/>
              <w:marBottom w:val="0"/>
              <w:divBdr>
                <w:top w:val="none" w:sz="0" w:space="0" w:color="auto"/>
                <w:left w:val="none" w:sz="0" w:space="0" w:color="auto"/>
                <w:bottom w:val="none" w:sz="0" w:space="0" w:color="auto"/>
                <w:right w:val="none" w:sz="0" w:space="0" w:color="auto"/>
              </w:divBdr>
              <w:divsChild>
                <w:div w:id="13975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4292">
      <w:bodyDiv w:val="1"/>
      <w:marLeft w:val="0"/>
      <w:marRight w:val="0"/>
      <w:marTop w:val="0"/>
      <w:marBottom w:val="0"/>
      <w:divBdr>
        <w:top w:val="none" w:sz="0" w:space="0" w:color="auto"/>
        <w:left w:val="none" w:sz="0" w:space="0" w:color="auto"/>
        <w:bottom w:val="none" w:sz="0" w:space="0" w:color="auto"/>
        <w:right w:val="none" w:sz="0" w:space="0" w:color="auto"/>
      </w:divBdr>
      <w:divsChild>
        <w:div w:id="1171221068">
          <w:marLeft w:val="0"/>
          <w:marRight w:val="0"/>
          <w:marTop w:val="0"/>
          <w:marBottom w:val="0"/>
          <w:divBdr>
            <w:top w:val="none" w:sz="0" w:space="0" w:color="auto"/>
            <w:left w:val="none" w:sz="0" w:space="0" w:color="auto"/>
            <w:bottom w:val="none" w:sz="0" w:space="0" w:color="auto"/>
            <w:right w:val="none" w:sz="0" w:space="0" w:color="auto"/>
          </w:divBdr>
          <w:divsChild>
            <w:div w:id="443579342">
              <w:marLeft w:val="0"/>
              <w:marRight w:val="0"/>
              <w:marTop w:val="0"/>
              <w:marBottom w:val="0"/>
              <w:divBdr>
                <w:top w:val="none" w:sz="0" w:space="0" w:color="auto"/>
                <w:left w:val="none" w:sz="0" w:space="0" w:color="auto"/>
                <w:bottom w:val="none" w:sz="0" w:space="0" w:color="auto"/>
                <w:right w:val="none" w:sz="0" w:space="0" w:color="auto"/>
              </w:divBdr>
              <w:divsChild>
                <w:div w:id="2054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7094">
      <w:bodyDiv w:val="1"/>
      <w:marLeft w:val="0"/>
      <w:marRight w:val="0"/>
      <w:marTop w:val="0"/>
      <w:marBottom w:val="0"/>
      <w:divBdr>
        <w:top w:val="none" w:sz="0" w:space="0" w:color="auto"/>
        <w:left w:val="none" w:sz="0" w:space="0" w:color="auto"/>
        <w:bottom w:val="none" w:sz="0" w:space="0" w:color="auto"/>
        <w:right w:val="none" w:sz="0" w:space="0" w:color="auto"/>
      </w:divBdr>
      <w:divsChild>
        <w:div w:id="276371478">
          <w:marLeft w:val="0"/>
          <w:marRight w:val="0"/>
          <w:marTop w:val="0"/>
          <w:marBottom w:val="0"/>
          <w:divBdr>
            <w:top w:val="none" w:sz="0" w:space="0" w:color="auto"/>
            <w:left w:val="none" w:sz="0" w:space="0" w:color="auto"/>
            <w:bottom w:val="none" w:sz="0" w:space="0" w:color="auto"/>
            <w:right w:val="none" w:sz="0" w:space="0" w:color="auto"/>
          </w:divBdr>
          <w:divsChild>
            <w:div w:id="1024592897">
              <w:marLeft w:val="0"/>
              <w:marRight w:val="0"/>
              <w:marTop w:val="0"/>
              <w:marBottom w:val="0"/>
              <w:divBdr>
                <w:top w:val="none" w:sz="0" w:space="0" w:color="auto"/>
                <w:left w:val="none" w:sz="0" w:space="0" w:color="auto"/>
                <w:bottom w:val="none" w:sz="0" w:space="0" w:color="auto"/>
                <w:right w:val="none" w:sz="0" w:space="0" w:color="auto"/>
              </w:divBdr>
              <w:divsChild>
                <w:div w:id="4130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6911">
      <w:bodyDiv w:val="1"/>
      <w:marLeft w:val="0"/>
      <w:marRight w:val="0"/>
      <w:marTop w:val="0"/>
      <w:marBottom w:val="0"/>
      <w:divBdr>
        <w:top w:val="none" w:sz="0" w:space="0" w:color="auto"/>
        <w:left w:val="none" w:sz="0" w:space="0" w:color="auto"/>
        <w:bottom w:val="none" w:sz="0" w:space="0" w:color="auto"/>
        <w:right w:val="none" w:sz="0" w:space="0" w:color="auto"/>
      </w:divBdr>
      <w:divsChild>
        <w:div w:id="1071657431">
          <w:marLeft w:val="0"/>
          <w:marRight w:val="0"/>
          <w:marTop w:val="0"/>
          <w:marBottom w:val="0"/>
          <w:divBdr>
            <w:top w:val="none" w:sz="0" w:space="0" w:color="auto"/>
            <w:left w:val="none" w:sz="0" w:space="0" w:color="auto"/>
            <w:bottom w:val="none" w:sz="0" w:space="0" w:color="auto"/>
            <w:right w:val="none" w:sz="0" w:space="0" w:color="auto"/>
          </w:divBdr>
          <w:divsChild>
            <w:div w:id="657924473">
              <w:marLeft w:val="0"/>
              <w:marRight w:val="0"/>
              <w:marTop w:val="0"/>
              <w:marBottom w:val="0"/>
              <w:divBdr>
                <w:top w:val="none" w:sz="0" w:space="0" w:color="auto"/>
                <w:left w:val="none" w:sz="0" w:space="0" w:color="auto"/>
                <w:bottom w:val="none" w:sz="0" w:space="0" w:color="auto"/>
                <w:right w:val="none" w:sz="0" w:space="0" w:color="auto"/>
              </w:divBdr>
              <w:divsChild>
                <w:div w:id="13965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4560">
      <w:bodyDiv w:val="1"/>
      <w:marLeft w:val="0"/>
      <w:marRight w:val="0"/>
      <w:marTop w:val="0"/>
      <w:marBottom w:val="0"/>
      <w:divBdr>
        <w:top w:val="none" w:sz="0" w:space="0" w:color="auto"/>
        <w:left w:val="none" w:sz="0" w:space="0" w:color="auto"/>
        <w:bottom w:val="none" w:sz="0" w:space="0" w:color="auto"/>
        <w:right w:val="none" w:sz="0" w:space="0" w:color="auto"/>
      </w:divBdr>
      <w:divsChild>
        <w:div w:id="975912195">
          <w:marLeft w:val="0"/>
          <w:marRight w:val="0"/>
          <w:marTop w:val="0"/>
          <w:marBottom w:val="0"/>
          <w:divBdr>
            <w:top w:val="none" w:sz="0" w:space="0" w:color="auto"/>
            <w:left w:val="none" w:sz="0" w:space="0" w:color="auto"/>
            <w:bottom w:val="none" w:sz="0" w:space="0" w:color="auto"/>
            <w:right w:val="none" w:sz="0" w:space="0" w:color="auto"/>
          </w:divBdr>
          <w:divsChild>
            <w:div w:id="537744011">
              <w:marLeft w:val="0"/>
              <w:marRight w:val="0"/>
              <w:marTop w:val="0"/>
              <w:marBottom w:val="0"/>
              <w:divBdr>
                <w:top w:val="none" w:sz="0" w:space="0" w:color="auto"/>
                <w:left w:val="none" w:sz="0" w:space="0" w:color="auto"/>
                <w:bottom w:val="none" w:sz="0" w:space="0" w:color="auto"/>
                <w:right w:val="none" w:sz="0" w:space="0" w:color="auto"/>
              </w:divBdr>
              <w:divsChild>
                <w:div w:id="9409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67100">
      <w:bodyDiv w:val="1"/>
      <w:marLeft w:val="0"/>
      <w:marRight w:val="0"/>
      <w:marTop w:val="0"/>
      <w:marBottom w:val="0"/>
      <w:divBdr>
        <w:top w:val="none" w:sz="0" w:space="0" w:color="auto"/>
        <w:left w:val="none" w:sz="0" w:space="0" w:color="auto"/>
        <w:bottom w:val="none" w:sz="0" w:space="0" w:color="auto"/>
        <w:right w:val="none" w:sz="0" w:space="0" w:color="auto"/>
      </w:divBdr>
      <w:divsChild>
        <w:div w:id="1853377800">
          <w:marLeft w:val="0"/>
          <w:marRight w:val="0"/>
          <w:marTop w:val="0"/>
          <w:marBottom w:val="0"/>
          <w:divBdr>
            <w:top w:val="none" w:sz="0" w:space="0" w:color="auto"/>
            <w:left w:val="none" w:sz="0" w:space="0" w:color="auto"/>
            <w:bottom w:val="none" w:sz="0" w:space="0" w:color="auto"/>
            <w:right w:val="none" w:sz="0" w:space="0" w:color="auto"/>
          </w:divBdr>
          <w:divsChild>
            <w:div w:id="1807509170">
              <w:marLeft w:val="0"/>
              <w:marRight w:val="0"/>
              <w:marTop w:val="0"/>
              <w:marBottom w:val="0"/>
              <w:divBdr>
                <w:top w:val="none" w:sz="0" w:space="0" w:color="auto"/>
                <w:left w:val="none" w:sz="0" w:space="0" w:color="auto"/>
                <w:bottom w:val="none" w:sz="0" w:space="0" w:color="auto"/>
                <w:right w:val="none" w:sz="0" w:space="0" w:color="auto"/>
              </w:divBdr>
              <w:divsChild>
                <w:div w:id="13407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8001">
      <w:bodyDiv w:val="1"/>
      <w:marLeft w:val="0"/>
      <w:marRight w:val="0"/>
      <w:marTop w:val="0"/>
      <w:marBottom w:val="0"/>
      <w:divBdr>
        <w:top w:val="none" w:sz="0" w:space="0" w:color="auto"/>
        <w:left w:val="none" w:sz="0" w:space="0" w:color="auto"/>
        <w:bottom w:val="none" w:sz="0" w:space="0" w:color="auto"/>
        <w:right w:val="none" w:sz="0" w:space="0" w:color="auto"/>
      </w:divBdr>
      <w:divsChild>
        <w:div w:id="1596816134">
          <w:marLeft w:val="0"/>
          <w:marRight w:val="0"/>
          <w:marTop w:val="0"/>
          <w:marBottom w:val="0"/>
          <w:divBdr>
            <w:top w:val="none" w:sz="0" w:space="0" w:color="auto"/>
            <w:left w:val="none" w:sz="0" w:space="0" w:color="auto"/>
            <w:bottom w:val="none" w:sz="0" w:space="0" w:color="auto"/>
            <w:right w:val="none" w:sz="0" w:space="0" w:color="auto"/>
          </w:divBdr>
          <w:divsChild>
            <w:div w:id="407926101">
              <w:marLeft w:val="0"/>
              <w:marRight w:val="0"/>
              <w:marTop w:val="0"/>
              <w:marBottom w:val="0"/>
              <w:divBdr>
                <w:top w:val="none" w:sz="0" w:space="0" w:color="auto"/>
                <w:left w:val="none" w:sz="0" w:space="0" w:color="auto"/>
                <w:bottom w:val="none" w:sz="0" w:space="0" w:color="auto"/>
                <w:right w:val="none" w:sz="0" w:space="0" w:color="auto"/>
              </w:divBdr>
              <w:divsChild>
                <w:div w:id="536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4254">
      <w:bodyDiv w:val="1"/>
      <w:marLeft w:val="0"/>
      <w:marRight w:val="0"/>
      <w:marTop w:val="0"/>
      <w:marBottom w:val="0"/>
      <w:divBdr>
        <w:top w:val="none" w:sz="0" w:space="0" w:color="auto"/>
        <w:left w:val="none" w:sz="0" w:space="0" w:color="auto"/>
        <w:bottom w:val="none" w:sz="0" w:space="0" w:color="auto"/>
        <w:right w:val="none" w:sz="0" w:space="0" w:color="auto"/>
      </w:divBdr>
      <w:divsChild>
        <w:div w:id="1872185348">
          <w:marLeft w:val="0"/>
          <w:marRight w:val="0"/>
          <w:marTop w:val="0"/>
          <w:marBottom w:val="0"/>
          <w:divBdr>
            <w:top w:val="none" w:sz="0" w:space="0" w:color="auto"/>
            <w:left w:val="none" w:sz="0" w:space="0" w:color="auto"/>
            <w:bottom w:val="none" w:sz="0" w:space="0" w:color="auto"/>
            <w:right w:val="none" w:sz="0" w:space="0" w:color="auto"/>
          </w:divBdr>
          <w:divsChild>
            <w:div w:id="1070536555">
              <w:marLeft w:val="0"/>
              <w:marRight w:val="0"/>
              <w:marTop w:val="0"/>
              <w:marBottom w:val="0"/>
              <w:divBdr>
                <w:top w:val="none" w:sz="0" w:space="0" w:color="auto"/>
                <w:left w:val="none" w:sz="0" w:space="0" w:color="auto"/>
                <w:bottom w:val="none" w:sz="0" w:space="0" w:color="auto"/>
                <w:right w:val="none" w:sz="0" w:space="0" w:color="auto"/>
              </w:divBdr>
              <w:divsChild>
                <w:div w:id="2971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0374">
      <w:bodyDiv w:val="1"/>
      <w:marLeft w:val="0"/>
      <w:marRight w:val="0"/>
      <w:marTop w:val="0"/>
      <w:marBottom w:val="0"/>
      <w:divBdr>
        <w:top w:val="none" w:sz="0" w:space="0" w:color="auto"/>
        <w:left w:val="none" w:sz="0" w:space="0" w:color="auto"/>
        <w:bottom w:val="none" w:sz="0" w:space="0" w:color="auto"/>
        <w:right w:val="none" w:sz="0" w:space="0" w:color="auto"/>
      </w:divBdr>
      <w:divsChild>
        <w:div w:id="111175209">
          <w:marLeft w:val="0"/>
          <w:marRight w:val="0"/>
          <w:marTop w:val="0"/>
          <w:marBottom w:val="0"/>
          <w:divBdr>
            <w:top w:val="none" w:sz="0" w:space="0" w:color="auto"/>
            <w:left w:val="none" w:sz="0" w:space="0" w:color="auto"/>
            <w:bottom w:val="none" w:sz="0" w:space="0" w:color="auto"/>
            <w:right w:val="none" w:sz="0" w:space="0" w:color="auto"/>
          </w:divBdr>
          <w:divsChild>
            <w:div w:id="483930369">
              <w:marLeft w:val="0"/>
              <w:marRight w:val="0"/>
              <w:marTop w:val="0"/>
              <w:marBottom w:val="0"/>
              <w:divBdr>
                <w:top w:val="none" w:sz="0" w:space="0" w:color="auto"/>
                <w:left w:val="none" w:sz="0" w:space="0" w:color="auto"/>
                <w:bottom w:val="none" w:sz="0" w:space="0" w:color="auto"/>
                <w:right w:val="none" w:sz="0" w:space="0" w:color="auto"/>
              </w:divBdr>
              <w:divsChild>
                <w:div w:id="42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5347">
      <w:bodyDiv w:val="1"/>
      <w:marLeft w:val="0"/>
      <w:marRight w:val="0"/>
      <w:marTop w:val="0"/>
      <w:marBottom w:val="0"/>
      <w:divBdr>
        <w:top w:val="none" w:sz="0" w:space="0" w:color="auto"/>
        <w:left w:val="none" w:sz="0" w:space="0" w:color="auto"/>
        <w:bottom w:val="none" w:sz="0" w:space="0" w:color="auto"/>
        <w:right w:val="none" w:sz="0" w:space="0" w:color="auto"/>
      </w:divBdr>
      <w:divsChild>
        <w:div w:id="382562845">
          <w:marLeft w:val="0"/>
          <w:marRight w:val="0"/>
          <w:marTop w:val="0"/>
          <w:marBottom w:val="0"/>
          <w:divBdr>
            <w:top w:val="none" w:sz="0" w:space="0" w:color="auto"/>
            <w:left w:val="none" w:sz="0" w:space="0" w:color="auto"/>
            <w:bottom w:val="none" w:sz="0" w:space="0" w:color="auto"/>
            <w:right w:val="none" w:sz="0" w:space="0" w:color="auto"/>
          </w:divBdr>
          <w:divsChild>
            <w:div w:id="537738965">
              <w:marLeft w:val="0"/>
              <w:marRight w:val="0"/>
              <w:marTop w:val="0"/>
              <w:marBottom w:val="0"/>
              <w:divBdr>
                <w:top w:val="none" w:sz="0" w:space="0" w:color="auto"/>
                <w:left w:val="none" w:sz="0" w:space="0" w:color="auto"/>
                <w:bottom w:val="none" w:sz="0" w:space="0" w:color="auto"/>
                <w:right w:val="none" w:sz="0" w:space="0" w:color="auto"/>
              </w:divBdr>
              <w:divsChild>
                <w:div w:id="19917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2021-07-01T20:18:00Z</dcterms:created>
  <dcterms:modified xsi:type="dcterms:W3CDTF">2021-07-01T22:43:00Z</dcterms:modified>
</cp:coreProperties>
</file>